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50261" w14:textId="77777777" w:rsidR="0080768A" w:rsidRPr="001D6FDC" w:rsidRDefault="0080768A" w:rsidP="0080768A">
      <w:pPr>
        <w:autoSpaceDE w:val="0"/>
        <w:autoSpaceDN w:val="0"/>
        <w:adjustRightInd w:val="0"/>
        <w:spacing w:after="0" w:line="240" w:lineRule="auto"/>
        <w:jc w:val="center"/>
        <w:rPr>
          <w:rFonts w:ascii="Times New Roman" w:eastAsia="SimSun" w:hAnsi="Times New Roman" w:cs="Times New Roman"/>
          <w:b/>
          <w:bCs/>
          <w:sz w:val="24"/>
          <w:szCs w:val="24"/>
          <w:u w:val="single"/>
          <w:lang w:eastAsia="zh-CN"/>
        </w:rPr>
      </w:pPr>
      <w:r w:rsidRPr="001D6FDC">
        <w:rPr>
          <w:rFonts w:ascii="Times New Roman" w:eastAsia="SimSun" w:hAnsi="Times New Roman" w:cs="Times New Roman"/>
          <w:b/>
          <w:bCs/>
          <w:sz w:val="24"/>
          <w:szCs w:val="24"/>
          <w:u w:val="single"/>
          <w:lang w:eastAsia="zh-CN"/>
        </w:rPr>
        <w:t>Physical Security Best Practices</w:t>
      </w:r>
    </w:p>
    <w:p w14:paraId="405938F3" w14:textId="77777777" w:rsidR="0080768A" w:rsidRPr="001D6FDC" w:rsidRDefault="0080768A" w:rsidP="0080768A">
      <w:pPr>
        <w:autoSpaceDE w:val="0"/>
        <w:autoSpaceDN w:val="0"/>
        <w:adjustRightInd w:val="0"/>
        <w:spacing w:after="0" w:line="240" w:lineRule="auto"/>
        <w:rPr>
          <w:rFonts w:ascii="Times New Roman" w:eastAsia="SimSun" w:hAnsi="Times New Roman" w:cs="Times New Roman"/>
          <w:b/>
          <w:bCs/>
          <w:sz w:val="24"/>
          <w:szCs w:val="24"/>
          <w:u w:val="single"/>
          <w:lang w:eastAsia="zh-CN"/>
        </w:rPr>
      </w:pPr>
    </w:p>
    <w:p w14:paraId="39EAA9D4" w14:textId="77777777" w:rsidR="0080768A" w:rsidRPr="001D6FDC" w:rsidRDefault="0080768A" w:rsidP="0080768A">
      <w:pPr>
        <w:numPr>
          <w:ilvl w:val="0"/>
          <w:numId w:val="11"/>
        </w:numPr>
        <w:autoSpaceDE w:val="0"/>
        <w:autoSpaceDN w:val="0"/>
        <w:adjustRightInd w:val="0"/>
        <w:spacing w:before="120" w:after="120" w:line="240" w:lineRule="auto"/>
        <w:ind w:left="36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
          <w:color w:val="000000"/>
          <w:sz w:val="24"/>
          <w:szCs w:val="24"/>
          <w:lang w:eastAsia="zh-CN"/>
        </w:rPr>
        <w:t>Clearly-Identify Controlled Technology</w:t>
      </w:r>
      <w:r w:rsidRPr="001D6FDC">
        <w:rPr>
          <w:rFonts w:ascii="Times New Roman" w:eastAsia="SimSun" w:hAnsi="Times New Roman" w:cs="Times New Roman"/>
          <w:color w:val="000000"/>
          <w:sz w:val="24"/>
          <w:szCs w:val="24"/>
          <w:lang w:eastAsia="zh-CN"/>
        </w:rPr>
        <w:t xml:space="preserve"> </w:t>
      </w:r>
      <w:r w:rsidRPr="001D6FDC">
        <w:rPr>
          <w:rFonts w:ascii="Times New Roman" w:eastAsia="SimSun" w:hAnsi="Times New Roman" w:cs="Times New Roman"/>
          <w:b/>
          <w:color w:val="000000"/>
          <w:sz w:val="24"/>
          <w:szCs w:val="24"/>
          <w:lang w:eastAsia="zh-CN"/>
        </w:rPr>
        <w:t>→</w:t>
      </w:r>
      <w:r w:rsidRPr="001D6FDC">
        <w:rPr>
          <w:rFonts w:ascii="Times New Roman" w:eastAsia="SimSun" w:hAnsi="Times New Roman" w:cs="Times New Roman"/>
          <w:color w:val="000000"/>
          <w:sz w:val="24"/>
          <w:szCs w:val="24"/>
          <w:lang w:eastAsia="zh-CN"/>
        </w:rPr>
        <w:t xml:space="preserve"> </w:t>
      </w:r>
      <w:proofErr w:type="gramStart"/>
      <w:r w:rsidRPr="001D6FDC">
        <w:rPr>
          <w:rFonts w:ascii="Times New Roman" w:eastAsia="SimSun" w:hAnsi="Times New Roman" w:cs="Times New Roman"/>
          <w:color w:val="000000"/>
          <w:sz w:val="24"/>
          <w:szCs w:val="24"/>
          <w:lang w:eastAsia="zh-CN"/>
        </w:rPr>
        <w:t>All</w:t>
      </w:r>
      <w:proofErr w:type="gramEnd"/>
      <w:r w:rsidRPr="001D6FDC">
        <w:rPr>
          <w:rFonts w:ascii="Times New Roman" w:eastAsia="SimSun" w:hAnsi="Times New Roman" w:cs="Times New Roman"/>
          <w:color w:val="000000"/>
          <w:sz w:val="24"/>
          <w:szCs w:val="24"/>
          <w:lang w:eastAsia="zh-CN"/>
        </w:rPr>
        <w:t xml:space="preserve"> controlled items should be clearly marked “controlled” and should be clearly-distinguished and physically segregated from non-controlled technology and information. It might be appropriate to classify information into data categories such as: 1) Public Use, 2) Internal Use Only, and 3) Confidential/Controlled. </w:t>
      </w:r>
    </w:p>
    <w:p w14:paraId="7A8204E7" w14:textId="77777777" w:rsidR="0080768A" w:rsidRPr="001D6FDC" w:rsidRDefault="0080768A" w:rsidP="0080768A">
      <w:pPr>
        <w:numPr>
          <w:ilvl w:val="0"/>
          <w:numId w:val="19"/>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color w:val="000000"/>
          <w:sz w:val="24"/>
          <w:szCs w:val="24"/>
          <w:lang w:eastAsia="zh-CN"/>
        </w:rPr>
        <w:t xml:space="preserve">Next, your enterprise may seek to “tag” or appropriately classify any technology or information that is deemed to be sensitive or subject to control. A Commodity Classification Number (CCN) should be assigned to any strategic data that is found on the national control list and this information should be catalogued in databases/document files for future reference. </w:t>
      </w:r>
    </w:p>
    <w:p w14:paraId="6902F86B" w14:textId="77777777" w:rsidR="0080768A" w:rsidRPr="001D6FDC" w:rsidRDefault="0080768A"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
          <w:bCs/>
          <w:sz w:val="24"/>
          <w:szCs w:val="24"/>
          <w:lang w:eastAsia="zh-CN"/>
        </w:rPr>
        <w:t xml:space="preserve">Create Secure Physical Storage </w:t>
      </w:r>
      <w:r w:rsidRPr="001D6FDC">
        <w:rPr>
          <w:rFonts w:ascii="Times New Roman" w:eastAsia="SimSun" w:hAnsi="Times New Roman" w:cs="Times New Roman"/>
          <w:b/>
          <w:color w:val="000000"/>
          <w:sz w:val="24"/>
          <w:szCs w:val="24"/>
          <w:lang w:eastAsia="zh-CN"/>
        </w:rPr>
        <w:t>→</w:t>
      </w:r>
      <w:r w:rsidRPr="001D6FDC">
        <w:rPr>
          <w:rFonts w:ascii="Times New Roman" w:eastAsia="SimSun" w:hAnsi="Times New Roman" w:cs="Times New Roman"/>
          <w:bCs/>
          <w:sz w:val="24"/>
          <w:szCs w:val="24"/>
          <w:lang w:eastAsia="zh-CN"/>
        </w:rPr>
        <w:t xml:space="preserve"> Controlled technology</w:t>
      </w:r>
      <w:r w:rsidRPr="001D6FDC">
        <w:rPr>
          <w:rFonts w:ascii="Times New Roman" w:eastAsia="SimSun" w:hAnsi="Times New Roman" w:cs="Times New Roman"/>
          <w:color w:val="000000"/>
          <w:sz w:val="24"/>
          <w:szCs w:val="24"/>
          <w:lang w:eastAsia="zh-CN"/>
        </w:rPr>
        <w:t xml:space="preserve"> should be locked in a secure container </w:t>
      </w:r>
      <w:r w:rsidRPr="001D6FDC">
        <w:rPr>
          <w:rFonts w:ascii="Times New Roman" w:eastAsia="SimSun" w:hAnsi="Times New Roman" w:cs="Times New Roman"/>
          <w:bCs/>
          <w:sz w:val="24"/>
          <w:szCs w:val="24"/>
          <w:lang w:eastAsia="zh-CN"/>
        </w:rPr>
        <w:t xml:space="preserve">(cabinet, safe, drawer) </w:t>
      </w:r>
      <w:r w:rsidRPr="001D6FDC">
        <w:rPr>
          <w:rFonts w:ascii="Times New Roman" w:eastAsia="SimSun" w:hAnsi="Times New Roman" w:cs="Times New Roman"/>
          <w:color w:val="000000"/>
          <w:sz w:val="24"/>
          <w:szCs w:val="24"/>
          <w:lang w:eastAsia="zh-CN"/>
        </w:rPr>
        <w:t>when not in use or possession of authorized enterprise personnel.</w:t>
      </w:r>
    </w:p>
    <w:p w14:paraId="32010D4B" w14:textId="77777777" w:rsidR="0080768A" w:rsidRPr="001D6FDC" w:rsidRDefault="0080768A"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Utilize the “One lock Principle</w:t>
      </w:r>
      <w:r w:rsidRPr="001D6FDC">
        <w:rPr>
          <w:rFonts w:ascii="Times New Roman" w:eastAsia="SimSun" w:hAnsi="Times New Roman" w:cs="Times New Roman"/>
          <w:color w:val="000000"/>
          <w:sz w:val="24"/>
          <w:szCs w:val="24"/>
          <w:lang w:eastAsia="zh-CN"/>
        </w:rPr>
        <w:t xml:space="preserve">”. The “One Lock” principle of securing controlled items requires using at least one mechanism (keys, key cards, access codes, etc.) to prevent disclosures to unauthorized persons. </w:t>
      </w:r>
      <w:r w:rsidRPr="00DF718C">
        <w:rPr>
          <w:rFonts w:ascii="Times New Roman" w:eastAsia="SimSun" w:hAnsi="Times New Roman" w:cs="Times New Roman"/>
          <w:color w:val="000000"/>
          <w:sz w:val="24"/>
          <w:szCs w:val="24"/>
          <w:u w:val="single"/>
          <w:lang w:eastAsia="zh-CN"/>
        </w:rPr>
        <w:t>Note</w:t>
      </w:r>
      <w:r w:rsidRPr="00DF718C">
        <w:rPr>
          <w:rFonts w:ascii="Times New Roman" w:eastAsia="SimSun" w:hAnsi="Times New Roman" w:cs="Times New Roman"/>
          <w:color w:val="000000"/>
          <w:sz w:val="24"/>
          <w:szCs w:val="24"/>
          <w:lang w:eastAsia="zh-CN"/>
        </w:rPr>
        <w:t>:</w:t>
      </w:r>
      <w:r w:rsidRPr="001D6FDC">
        <w:rPr>
          <w:rFonts w:ascii="Times New Roman" w:eastAsia="SimSun" w:hAnsi="Times New Roman" w:cs="Times New Roman"/>
          <w:color w:val="000000"/>
          <w:sz w:val="24"/>
          <w:szCs w:val="24"/>
          <w:lang w:eastAsia="zh-CN"/>
        </w:rPr>
        <w:t xml:space="preserve"> </w:t>
      </w:r>
      <w:r w:rsidRPr="00DF718C">
        <w:rPr>
          <w:rFonts w:ascii="Times New Roman" w:eastAsia="SimSun" w:hAnsi="Times New Roman" w:cs="Times New Roman"/>
          <w:i/>
          <w:color w:val="000000"/>
          <w:sz w:val="24"/>
          <w:szCs w:val="24"/>
          <w:lang w:eastAsia="zh-CN"/>
        </w:rPr>
        <w:t>This is the minimum requirement for safeguarding controlled technology and information</w:t>
      </w:r>
      <w:r w:rsidRPr="001D6FDC">
        <w:rPr>
          <w:rFonts w:ascii="Times New Roman" w:eastAsia="SimSun" w:hAnsi="Times New Roman" w:cs="Times New Roman"/>
          <w:color w:val="000000"/>
          <w:sz w:val="24"/>
          <w:szCs w:val="24"/>
          <w:lang w:eastAsia="zh-CN"/>
        </w:rPr>
        <w:t>.</w:t>
      </w:r>
      <w:r w:rsidRPr="001D6FDC">
        <w:rPr>
          <w:rFonts w:ascii="Times New Roman" w:eastAsia="SimSun" w:hAnsi="Times New Roman" w:cs="Times New Roman"/>
          <w:color w:val="000000"/>
          <w:sz w:val="24"/>
          <w:szCs w:val="24"/>
          <w:vertAlign w:val="superscript"/>
          <w:lang w:eastAsia="zh-CN"/>
        </w:rPr>
        <w:endnoteReference w:id="1"/>
      </w:r>
    </w:p>
    <w:p w14:paraId="6D67C9B7" w14:textId="77777777" w:rsidR="0080768A" w:rsidRPr="001D6FDC" w:rsidRDefault="0080768A"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eastAsia="zh-CN"/>
        </w:rPr>
      </w:pPr>
      <w:r w:rsidRPr="00192D17">
        <w:rPr>
          <w:rFonts w:ascii="Times New Roman" w:eastAsia="SimSun" w:hAnsi="Times New Roman" w:cs="Times New Roman"/>
          <w:bCs/>
          <w:noProof/>
          <w:sz w:val="24"/>
          <w:szCs w:val="24"/>
          <w:vertAlign w:val="superscript"/>
        </w:rPr>
        <w:drawing>
          <wp:anchor distT="0" distB="0" distL="114300" distR="114300" simplePos="0" relativeHeight="251659264" behindDoc="0" locked="0" layoutInCell="1" allowOverlap="1" wp14:anchorId="3F36C717" wp14:editId="33809EEA">
            <wp:simplePos x="2238375" y="4876800"/>
            <wp:positionH relativeFrom="margin">
              <wp:align>right</wp:align>
            </wp:positionH>
            <wp:positionV relativeFrom="margin">
              <wp:posOffset>4791075</wp:posOffset>
            </wp:positionV>
            <wp:extent cx="2462530" cy="1609725"/>
            <wp:effectExtent l="0" t="0" r="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2530" cy="1609725"/>
                    </a:xfrm>
                    <a:prstGeom prst="rect">
                      <a:avLst/>
                    </a:prstGeom>
                  </pic:spPr>
                </pic:pic>
              </a:graphicData>
            </a:graphic>
          </wp:anchor>
        </w:drawing>
      </w:r>
      <w:r w:rsidRPr="001D6FDC">
        <w:rPr>
          <w:rFonts w:ascii="Times New Roman" w:eastAsia="SimSun" w:hAnsi="Times New Roman" w:cs="Times New Roman"/>
          <w:sz w:val="24"/>
          <w:szCs w:val="24"/>
          <w:lang w:eastAsia="zh-CN"/>
        </w:rPr>
        <w:t>Paper or hard-copy files containing controlled information or technology should be stored under lock in key (e.g. in a secured locked file cabinet in an office that is locked when unoccupied).</w:t>
      </w:r>
      <w:r w:rsidRPr="001D6FDC">
        <w:rPr>
          <w:rFonts w:ascii="Times New Roman" w:eastAsia="SimSun" w:hAnsi="Times New Roman" w:cs="Times New Roman"/>
          <w:sz w:val="24"/>
          <w:szCs w:val="24"/>
          <w:vertAlign w:val="superscript"/>
          <w:lang w:eastAsia="zh-CN"/>
        </w:rPr>
        <w:endnoteReference w:id="2"/>
      </w:r>
      <w:r w:rsidRPr="001D6FDC">
        <w:rPr>
          <w:rFonts w:ascii="Times New Roman" w:eastAsia="SimSun" w:hAnsi="Times New Roman" w:cs="Times New Roman"/>
          <w:bCs/>
          <w:sz w:val="24"/>
          <w:szCs w:val="24"/>
          <w:vertAlign w:val="superscript"/>
          <w:lang w:eastAsia="zh-CN"/>
        </w:rPr>
        <w:t xml:space="preserve"> </w:t>
      </w:r>
    </w:p>
    <w:p w14:paraId="41B258A8" w14:textId="77777777" w:rsidR="0080768A" w:rsidRPr="001D6FDC" w:rsidRDefault="0080768A"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Controlled technology that cannot be stored in a secure a container when not in use may require additional security precautions. This type of “open” storage tends to be less secure and presents greater risk of inadvertent transfers of controlled technology and information.</w:t>
      </w:r>
      <w:r w:rsidRPr="001D6FDC">
        <w:rPr>
          <w:rFonts w:ascii="Times New Roman" w:eastAsia="SimSun" w:hAnsi="Times New Roman" w:cs="Times New Roman"/>
          <w:color w:val="000000"/>
          <w:sz w:val="24"/>
          <w:szCs w:val="24"/>
          <w:vertAlign w:val="superscript"/>
          <w:lang w:eastAsia="zh-CN"/>
        </w:rPr>
        <w:endnoteReference w:id="3"/>
      </w:r>
    </w:p>
    <w:p w14:paraId="72000383" w14:textId="77777777" w:rsidR="0080768A" w:rsidRPr="001D6FDC" w:rsidRDefault="0080768A"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It is recommended that controlled information not be removed from storage without approval from the appropriate empowered compliance official within your enterprise.</w:t>
      </w:r>
    </w:p>
    <w:p w14:paraId="0593BAAB" w14:textId="77777777" w:rsidR="0080768A" w:rsidRPr="001D6FDC" w:rsidRDefault="0080768A"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Establish procedures for the proper destruction and disposal of controlled information (e.g. papers, schematics, blueprints).</w:t>
      </w:r>
    </w:p>
    <w:p w14:paraId="0F6CF230" w14:textId="77777777" w:rsidR="0080768A" w:rsidRPr="001D6FDC" w:rsidRDefault="0080768A"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
          <w:bCs/>
          <w:sz w:val="24"/>
          <w:szCs w:val="24"/>
          <w:lang w:eastAsia="zh-CN"/>
        </w:rPr>
        <w:t>Establish Restricted Areas</w:t>
      </w:r>
      <w:r w:rsidRPr="001D6FDC">
        <w:rPr>
          <w:rFonts w:ascii="Times New Roman" w:eastAsia="SimSun" w:hAnsi="Times New Roman" w:cs="Times New Roman"/>
          <w:bCs/>
          <w:sz w:val="24"/>
          <w:szCs w:val="24"/>
          <w:lang w:eastAsia="zh-CN"/>
        </w:rPr>
        <w:t xml:space="preserve"> </w:t>
      </w:r>
      <w:r w:rsidRPr="001D6FDC">
        <w:rPr>
          <w:rFonts w:ascii="Times New Roman" w:eastAsia="SimSun" w:hAnsi="Times New Roman" w:cs="Times New Roman"/>
          <w:b/>
          <w:color w:val="000000"/>
          <w:sz w:val="24"/>
          <w:szCs w:val="24"/>
          <w:lang w:eastAsia="zh-CN"/>
        </w:rPr>
        <w:t>→</w:t>
      </w:r>
      <w:r w:rsidRPr="001D6FDC">
        <w:rPr>
          <w:rFonts w:ascii="Times New Roman" w:eastAsia="SimSun" w:hAnsi="Times New Roman" w:cs="Times New Roman"/>
          <w:bCs/>
          <w:sz w:val="24"/>
          <w:szCs w:val="24"/>
          <w:lang w:eastAsia="zh-CN"/>
        </w:rPr>
        <w:t xml:space="preserve"> </w:t>
      </w:r>
      <w:r w:rsidRPr="001D6FDC">
        <w:rPr>
          <w:rFonts w:ascii="Times New Roman" w:eastAsia="SimSun" w:hAnsi="Times New Roman" w:cs="Times New Roman"/>
          <w:color w:val="000000"/>
          <w:sz w:val="24"/>
          <w:szCs w:val="24"/>
          <w:lang w:eastAsia="zh-CN"/>
        </w:rPr>
        <w:t xml:space="preserve">Restricted areas are used to regulate access to controlled technology that is located in an open area during operating hours. Restricted work areas often employ physical barriers to protect against the oral or visual transfer of controlled information to unauthorized individuals. </w:t>
      </w:r>
    </w:p>
    <w:p w14:paraId="6193DA87" w14:textId="77777777" w:rsidR="0080768A" w:rsidRPr="001D6FDC" w:rsidRDefault="0080768A"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color w:val="000000"/>
          <w:sz w:val="24"/>
          <w:szCs w:val="24"/>
          <w:lang w:eastAsia="zh-CN"/>
        </w:rPr>
        <w:t xml:space="preserve">The restricted area should have a clearly defined perimeter, but physical barriers are not always required. </w:t>
      </w:r>
    </w:p>
    <w:p w14:paraId="003344A3" w14:textId="77777777" w:rsidR="0080768A" w:rsidRPr="001D6FDC" w:rsidRDefault="0080768A"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color w:val="000000"/>
          <w:sz w:val="24"/>
          <w:szCs w:val="24"/>
          <w:lang w:eastAsia="zh-CN"/>
        </w:rPr>
        <w:t xml:space="preserve">A restricted area is prudent when it is impractical or impossible to protect access to the controlled technology due to its format, size, quantity, or other unusual characteristic. </w:t>
      </w:r>
    </w:p>
    <w:p w14:paraId="49DCE1A7" w14:textId="77777777" w:rsidR="0080768A" w:rsidRPr="001D6FDC" w:rsidRDefault="0080768A"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color w:val="000000"/>
          <w:sz w:val="24"/>
          <w:szCs w:val="24"/>
          <w:lang w:eastAsia="zh-CN"/>
        </w:rPr>
        <w:lastRenderedPageBreak/>
        <w:t xml:space="preserve">Personnel within the restricted areas are responsible for challenging all persons who may lack appropriate authority to enter the restricted area. </w:t>
      </w:r>
    </w:p>
    <w:p w14:paraId="39C9A59A" w14:textId="77777777" w:rsidR="0080768A" w:rsidRPr="001D6FDC" w:rsidRDefault="0080768A"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
          <w:bCs/>
          <w:sz w:val="24"/>
          <w:szCs w:val="24"/>
          <w:lang w:eastAsia="zh-CN"/>
        </w:rPr>
      </w:pPr>
      <w:r w:rsidRPr="001D6FDC">
        <w:rPr>
          <w:rFonts w:ascii="Times New Roman" w:eastAsia="SimSun" w:hAnsi="Times New Roman" w:cs="Times New Roman"/>
          <w:b/>
          <w:bCs/>
          <w:sz w:val="24"/>
          <w:szCs w:val="24"/>
          <w:lang w:eastAsia="zh-CN"/>
        </w:rPr>
        <w:t xml:space="preserve">Institute Access Controls </w:t>
      </w:r>
      <w:r w:rsidRPr="001D6FDC">
        <w:rPr>
          <w:rFonts w:ascii="Times New Roman" w:eastAsia="SimSun" w:hAnsi="Times New Roman" w:cs="Times New Roman"/>
          <w:b/>
          <w:color w:val="000000"/>
          <w:sz w:val="24"/>
          <w:szCs w:val="24"/>
          <w:lang w:eastAsia="zh-CN"/>
        </w:rPr>
        <w:t>→</w:t>
      </w:r>
      <w:r w:rsidRPr="001D6FDC">
        <w:rPr>
          <w:rFonts w:ascii="Times New Roman" w:eastAsia="SimSun" w:hAnsi="Times New Roman" w:cs="Times New Roman"/>
          <w:b/>
          <w:bCs/>
          <w:sz w:val="24"/>
          <w:szCs w:val="24"/>
          <w:lang w:eastAsia="zh-CN"/>
        </w:rPr>
        <w:t xml:space="preserve"> </w:t>
      </w:r>
      <w:proofErr w:type="gramStart"/>
      <w:r w:rsidRPr="001D6FDC">
        <w:rPr>
          <w:rFonts w:ascii="Times New Roman" w:eastAsia="SimSun" w:hAnsi="Times New Roman" w:cs="Times New Roman"/>
          <w:color w:val="000000"/>
          <w:sz w:val="24"/>
          <w:szCs w:val="24"/>
          <w:lang w:eastAsia="zh-CN"/>
        </w:rPr>
        <w:t>Many</w:t>
      </w:r>
      <w:proofErr w:type="gramEnd"/>
      <w:r w:rsidRPr="001D6FDC">
        <w:rPr>
          <w:rFonts w:ascii="Times New Roman" w:eastAsia="SimSun" w:hAnsi="Times New Roman" w:cs="Times New Roman"/>
          <w:color w:val="000000"/>
          <w:sz w:val="24"/>
          <w:szCs w:val="24"/>
          <w:lang w:eastAsia="zh-CN"/>
        </w:rPr>
        <w:t xml:space="preserve"> enterprises employ access controls to ensure that controlled technology is only accessible to authorized personnel.</w:t>
      </w:r>
    </w:p>
    <w:p w14:paraId="07E2D652" w14:textId="77777777" w:rsidR="0080768A" w:rsidRPr="001D6FDC" w:rsidRDefault="0080768A"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Utilize key controls to manage access to controlled technology. Key controls can be manual but preferably, they should be electronic (e.g. key cards or key control pads with individual employee access codes).</w:t>
      </w:r>
    </w:p>
    <w:p w14:paraId="2444C54F" w14:textId="77777777" w:rsidR="0080768A" w:rsidRPr="001D6FDC" w:rsidRDefault="0080768A"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hAnsi="Times New Roman" w:cs="Times New Roman"/>
          <w:sz w:val="24"/>
          <w:szCs w:val="24"/>
        </w:rPr>
        <w:t>Employ video surveillance and CCTV around the clock to monitor access to controlled technology</w:t>
      </w:r>
    </w:p>
    <w:p w14:paraId="7D52200B" w14:textId="77777777" w:rsidR="0080768A" w:rsidRPr="001D6FDC" w:rsidRDefault="0080768A"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Establish a single entry policy, whereby every employee must individually access restricted areas or controlled technology using their own key, badge, access code, or credentials (seek to prohibit two people from entering at once).</w:t>
      </w:r>
    </w:p>
    <w:p w14:paraId="52A4369D" w14:textId="77777777" w:rsidR="0080768A" w:rsidRPr="001D6FDC" w:rsidRDefault="0080768A"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sz w:val="24"/>
          <w:szCs w:val="24"/>
          <w:lang w:eastAsia="zh-CN"/>
        </w:rPr>
        <w:t>Require sign-in to obtain access to controlled technology or equipment. When possible, controlled information should be stored in locked containers with established sign-out procedures so that a log of chain of custody is maintained. When this is not possible, your enterprise should consider utilizing restricted areas in order to track who has entered and exited.</w:t>
      </w:r>
      <w:r w:rsidRPr="001D6FDC">
        <w:rPr>
          <w:rFonts w:ascii="Times New Roman" w:eastAsia="SimSun" w:hAnsi="Times New Roman" w:cs="Times New Roman"/>
          <w:sz w:val="24"/>
          <w:szCs w:val="24"/>
          <w:vertAlign w:val="superscript"/>
          <w:lang w:eastAsia="zh-CN"/>
        </w:rPr>
        <w:endnoteReference w:id="4"/>
      </w:r>
    </w:p>
    <w:p w14:paraId="00CFFF2E" w14:textId="77777777" w:rsidR="0080768A" w:rsidRPr="001D6FDC" w:rsidRDefault="0080768A" w:rsidP="0080768A">
      <w:pPr>
        <w:numPr>
          <w:ilvl w:val="0"/>
          <w:numId w:val="14"/>
        </w:numPr>
        <w:autoSpaceDE w:val="0"/>
        <w:autoSpaceDN w:val="0"/>
        <w:adjustRightInd w:val="0"/>
        <w:spacing w:before="120" w:after="120" w:line="240" w:lineRule="auto"/>
        <w:ind w:left="108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sz w:val="24"/>
          <w:szCs w:val="24"/>
          <w:lang w:eastAsia="zh-CN"/>
        </w:rPr>
        <w:t>Create an access log detailing all individuals that have entered restricted areas or accessed controlled information or technology.</w:t>
      </w:r>
    </w:p>
    <w:p w14:paraId="467D2888" w14:textId="77777777" w:rsidR="0080768A" w:rsidRPr="001D6FDC" w:rsidRDefault="0080768A"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
          <w:bCs/>
          <w:sz w:val="24"/>
          <w:szCs w:val="24"/>
          <w:lang w:eastAsia="zh-CN"/>
        </w:rPr>
        <w:t>Develop Visitor Identification and Control Measures</w:t>
      </w:r>
      <w:r w:rsidRPr="001D6FDC">
        <w:rPr>
          <w:rFonts w:ascii="Times New Roman" w:eastAsia="SimSun" w:hAnsi="Times New Roman" w:cs="Times New Roman"/>
          <w:bCs/>
          <w:sz w:val="24"/>
          <w:szCs w:val="24"/>
          <w:lang w:eastAsia="zh-CN"/>
        </w:rPr>
        <w:t xml:space="preserve"> </w:t>
      </w:r>
      <w:r w:rsidRPr="001D6FDC">
        <w:rPr>
          <w:rFonts w:ascii="Times New Roman" w:eastAsia="SimSun" w:hAnsi="Times New Roman" w:cs="Times New Roman"/>
          <w:b/>
          <w:color w:val="000000"/>
          <w:sz w:val="24"/>
          <w:szCs w:val="24"/>
          <w:lang w:eastAsia="zh-CN"/>
        </w:rPr>
        <w:t>→</w:t>
      </w:r>
      <w:r w:rsidRPr="001D6FDC">
        <w:rPr>
          <w:rFonts w:ascii="Times New Roman" w:eastAsia="SimSun" w:hAnsi="Times New Roman" w:cs="Times New Roman"/>
          <w:bCs/>
          <w:sz w:val="24"/>
          <w:szCs w:val="24"/>
          <w:lang w:eastAsia="zh-CN"/>
        </w:rPr>
        <w:t xml:space="preserve"> </w:t>
      </w:r>
      <w:proofErr w:type="gramStart"/>
      <w:r w:rsidRPr="001D6FDC">
        <w:rPr>
          <w:rFonts w:ascii="Times New Roman" w:eastAsia="SimSun" w:hAnsi="Times New Roman" w:cs="Times New Roman"/>
          <w:bCs/>
          <w:sz w:val="24"/>
          <w:szCs w:val="24"/>
          <w:lang w:eastAsia="zh-CN"/>
        </w:rPr>
        <w:t>It</w:t>
      </w:r>
      <w:proofErr w:type="gramEnd"/>
      <w:r w:rsidRPr="001D6FDC">
        <w:rPr>
          <w:rFonts w:ascii="Times New Roman" w:eastAsia="SimSun" w:hAnsi="Times New Roman" w:cs="Times New Roman"/>
          <w:bCs/>
          <w:sz w:val="24"/>
          <w:szCs w:val="24"/>
          <w:lang w:eastAsia="zh-CN"/>
        </w:rPr>
        <w:t xml:space="preserve"> is your enterprise’s </w:t>
      </w:r>
      <w:r w:rsidRPr="001D6FDC">
        <w:rPr>
          <w:rFonts w:ascii="Times New Roman" w:hAnsi="Times New Roman" w:cs="Times New Roman"/>
          <w:sz w:val="24"/>
          <w:szCs w:val="24"/>
        </w:rPr>
        <w:t xml:space="preserve">responsibility to ensure that visitors are not afforded access (by </w:t>
      </w:r>
      <w:r w:rsidRPr="001D6FDC">
        <w:rPr>
          <w:rFonts w:ascii="Times New Roman" w:eastAsia="SimSun" w:hAnsi="Times New Roman" w:cs="Times New Roman"/>
          <w:bCs/>
          <w:sz w:val="24"/>
          <w:szCs w:val="24"/>
          <w:lang w:eastAsia="zh-CN"/>
        </w:rPr>
        <w:t xml:space="preserve">visual or oral means) </w:t>
      </w:r>
      <w:r w:rsidRPr="001D6FDC">
        <w:rPr>
          <w:rFonts w:ascii="Times New Roman" w:hAnsi="Times New Roman" w:cs="Times New Roman"/>
          <w:sz w:val="24"/>
          <w:szCs w:val="24"/>
        </w:rPr>
        <w:t xml:space="preserve">to controlled technology unless it is permitted under a license from the relevant national authorities. </w:t>
      </w:r>
      <w:r w:rsidRPr="001D6FDC">
        <w:rPr>
          <w:rFonts w:ascii="Times New Roman" w:hAnsi="Times New Roman" w:cs="Times New Roman"/>
          <w:b/>
          <w:sz w:val="24"/>
          <w:szCs w:val="24"/>
        </w:rPr>
        <w:t>Your enterprise can take the following actions to help prevent visitor access to controlled technology and information and maintain compliance with STC requirements:</w:t>
      </w:r>
    </w:p>
    <w:p w14:paraId="4A88B250" w14:textId="77777777" w:rsidR="0080768A" w:rsidRPr="001D6FDC"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 xml:space="preserve">Screening </w:t>
      </w:r>
      <w:r w:rsidRPr="001D6FDC">
        <w:rPr>
          <w:rFonts w:ascii="Times New Roman" w:eastAsia="SimSun" w:hAnsi="Times New Roman" w:cs="Times New Roman"/>
          <w:bCs/>
          <w:sz w:val="24"/>
          <w:szCs w:val="24"/>
          <w:lang w:eastAsia="zh-CN"/>
        </w:rPr>
        <w:t xml:space="preserve"> → It is recommended that your enterprise screen visitors in advance to ensure that they are not designated on any restricted party or entity lists (</w:t>
      </w:r>
      <w:r>
        <w:rPr>
          <w:rFonts w:ascii="Times New Roman" w:eastAsia="SimSun" w:hAnsi="Times New Roman" w:cs="Times New Roman"/>
          <w:bCs/>
          <w:sz w:val="24"/>
          <w:szCs w:val="24"/>
          <w:u w:val="single"/>
          <w:lang w:eastAsia="zh-CN"/>
        </w:rPr>
        <w:t>Note</w:t>
      </w:r>
      <w:r w:rsidRPr="001D6FDC">
        <w:rPr>
          <w:rFonts w:ascii="Times New Roman" w:eastAsia="SimSun" w:hAnsi="Times New Roman" w:cs="Times New Roman"/>
          <w:bCs/>
          <w:sz w:val="24"/>
          <w:szCs w:val="24"/>
          <w:lang w:eastAsia="zh-CN"/>
        </w:rPr>
        <w:t xml:space="preserve">: </w:t>
      </w:r>
      <w:r w:rsidRPr="00DF718C">
        <w:rPr>
          <w:rFonts w:ascii="Times New Roman" w:eastAsia="SimSun" w:hAnsi="Times New Roman" w:cs="Times New Roman"/>
          <w:bCs/>
          <w:i/>
          <w:sz w:val="24"/>
          <w:szCs w:val="24"/>
          <w:lang w:eastAsia="zh-CN"/>
        </w:rPr>
        <w:t>Your enterprise can use the RPST to screen visitors against relevant lists</w:t>
      </w:r>
      <w:r w:rsidRPr="001D6FDC">
        <w:rPr>
          <w:rFonts w:ascii="Times New Roman" w:eastAsia="SimSun" w:hAnsi="Times New Roman" w:cs="Times New Roman"/>
          <w:bCs/>
          <w:sz w:val="24"/>
          <w:szCs w:val="24"/>
          <w:lang w:eastAsia="zh-CN"/>
        </w:rPr>
        <w:t xml:space="preserve">). In addition, it may be important to ascertain the nationality of the visitor in advance as </w:t>
      </w:r>
      <w:r w:rsidRPr="001D6FDC">
        <w:rPr>
          <w:rFonts w:ascii="Times New Roman" w:eastAsia="SimSun" w:hAnsi="Times New Roman" w:cs="Times New Roman"/>
          <w:b/>
          <w:bCs/>
          <w:sz w:val="24"/>
          <w:szCs w:val="24"/>
          <w:lang w:eastAsia="zh-CN"/>
        </w:rPr>
        <w:t>some countries maintain restrictions on transfers of controlled technology to certain foreign nationals</w:t>
      </w:r>
      <w:r w:rsidRPr="001D6FDC">
        <w:rPr>
          <w:rFonts w:ascii="Times New Roman" w:eastAsia="SimSun" w:hAnsi="Times New Roman" w:cs="Times New Roman"/>
          <w:bCs/>
          <w:sz w:val="24"/>
          <w:szCs w:val="24"/>
          <w:lang w:eastAsia="zh-CN"/>
        </w:rPr>
        <w:t>. Your enterprise may also consider a resume/Visa review to ensure that the visitor does not present undue risks or have any ties to designated parties, individuals, or destinations.</w:t>
      </w:r>
    </w:p>
    <w:p w14:paraId="792D823F" w14:textId="77777777" w:rsidR="0080768A" w:rsidRPr="001D6FDC"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 xml:space="preserve">Visitor registry </w:t>
      </w:r>
      <w:r w:rsidRPr="001D6FDC">
        <w:rPr>
          <w:rFonts w:ascii="Times New Roman" w:eastAsia="SimSun" w:hAnsi="Times New Roman" w:cs="Times New Roman"/>
          <w:bCs/>
          <w:sz w:val="24"/>
          <w:szCs w:val="24"/>
          <w:lang w:eastAsia="zh-CN"/>
        </w:rPr>
        <w:t xml:space="preserve">→ </w:t>
      </w:r>
      <w:r w:rsidRPr="001D6FDC">
        <w:rPr>
          <w:rFonts w:ascii="Times New Roman" w:hAnsi="Times New Roman" w:cs="Times New Roman"/>
          <w:sz w:val="24"/>
          <w:szCs w:val="24"/>
        </w:rPr>
        <w:t>It is recommended that your enterprise require all visitors to sign a visitor register prior to entry into your enterprise’s facilities. It is your enterprise’s responsibility to establish whether the visitor is authorized to access controlled information, and to provide an appropriate badge and/or escort.</w:t>
      </w:r>
    </w:p>
    <w:p w14:paraId="61EAAD43" w14:textId="77777777" w:rsidR="0080768A" w:rsidRPr="001D6FDC"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Visitor escorts and identification badges</w:t>
      </w:r>
      <w:r w:rsidRPr="001D6FDC">
        <w:rPr>
          <w:rFonts w:ascii="Times New Roman" w:eastAsia="SimSun" w:hAnsi="Times New Roman" w:cs="Times New Roman"/>
          <w:bCs/>
          <w:sz w:val="24"/>
          <w:szCs w:val="24"/>
          <w:lang w:eastAsia="zh-CN"/>
        </w:rPr>
        <w:t xml:space="preserve"> → </w:t>
      </w:r>
      <w:proofErr w:type="gramStart"/>
      <w:r w:rsidRPr="001D6FDC">
        <w:rPr>
          <w:rFonts w:ascii="Times New Roman" w:eastAsia="SimSun" w:hAnsi="Times New Roman" w:cs="Times New Roman"/>
          <w:bCs/>
          <w:sz w:val="24"/>
          <w:szCs w:val="24"/>
          <w:lang w:eastAsia="zh-CN"/>
        </w:rPr>
        <w:t>All</w:t>
      </w:r>
      <w:proofErr w:type="gramEnd"/>
      <w:r w:rsidRPr="001D6FDC">
        <w:rPr>
          <w:rFonts w:ascii="Times New Roman" w:eastAsia="SimSun" w:hAnsi="Times New Roman" w:cs="Times New Roman"/>
          <w:bCs/>
          <w:sz w:val="24"/>
          <w:szCs w:val="24"/>
          <w:lang w:eastAsia="zh-CN"/>
        </w:rPr>
        <w:t xml:space="preserve"> visitors should be required to wear an identification badge. </w:t>
      </w:r>
      <w:r w:rsidRPr="001D6FDC">
        <w:rPr>
          <w:rFonts w:ascii="Times New Roman" w:hAnsi="Times New Roman" w:cs="Times New Roman"/>
          <w:sz w:val="24"/>
          <w:szCs w:val="24"/>
        </w:rPr>
        <w:t xml:space="preserve">The visitor’s ID badge should be easily identifiable and displayed at all times within your enterprise’s facilities. Visitors that do not have access to controlled information should be escorted at all times by employees and should be made to wear </w:t>
      </w:r>
      <w:r w:rsidRPr="001D6FDC">
        <w:rPr>
          <w:rFonts w:ascii="Times New Roman" w:hAnsi="Times New Roman" w:cs="Times New Roman"/>
          <w:sz w:val="24"/>
          <w:szCs w:val="24"/>
        </w:rPr>
        <w:lastRenderedPageBreak/>
        <w:t>visitor identification cards/badges at all times.</w:t>
      </w:r>
      <w:r w:rsidRPr="001D6FDC">
        <w:rPr>
          <w:rFonts w:ascii="Times New Roman" w:hAnsi="Times New Roman" w:cs="Times New Roman"/>
          <w:sz w:val="24"/>
          <w:szCs w:val="24"/>
          <w:vertAlign w:val="superscript"/>
        </w:rPr>
        <w:endnoteReference w:id="5"/>
      </w:r>
      <w:r w:rsidRPr="001D6FDC">
        <w:rPr>
          <w:rFonts w:ascii="Times New Roman" w:hAnsi="Times New Roman" w:cs="Times New Roman"/>
          <w:sz w:val="24"/>
          <w:szCs w:val="24"/>
        </w:rPr>
        <w:t xml:space="preserve"> Some enterprises enable the badges with Radio Frequency Identification (RFID) tags to monitor the physical proximity of visitors to controlled technology.</w:t>
      </w:r>
    </w:p>
    <w:p w14:paraId="0305BF48" w14:textId="77777777" w:rsidR="0080768A" w:rsidRPr="001D6FDC"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 xml:space="preserve">Non-Disclosure Agreements (NDA) </w:t>
      </w:r>
      <w:r w:rsidRPr="001D6FDC">
        <w:rPr>
          <w:rFonts w:ascii="Times New Roman" w:eastAsia="SimSun" w:hAnsi="Times New Roman" w:cs="Times New Roman"/>
          <w:bCs/>
          <w:sz w:val="24"/>
          <w:szCs w:val="24"/>
          <w:lang w:eastAsia="zh-CN"/>
        </w:rPr>
        <w:t xml:space="preserve">→ </w:t>
      </w:r>
      <w:proofErr w:type="gramStart"/>
      <w:r w:rsidRPr="001D6FDC">
        <w:rPr>
          <w:rFonts w:ascii="Times New Roman" w:eastAsia="SimSun" w:hAnsi="Times New Roman" w:cs="Times New Roman"/>
          <w:bCs/>
          <w:sz w:val="24"/>
          <w:szCs w:val="24"/>
          <w:lang w:eastAsia="zh-CN"/>
        </w:rPr>
        <w:t>Your</w:t>
      </w:r>
      <w:proofErr w:type="gramEnd"/>
      <w:r w:rsidRPr="001D6FDC">
        <w:rPr>
          <w:rFonts w:ascii="Times New Roman" w:eastAsia="SimSun" w:hAnsi="Times New Roman" w:cs="Times New Roman"/>
          <w:bCs/>
          <w:sz w:val="24"/>
          <w:szCs w:val="24"/>
          <w:lang w:eastAsia="zh-CN"/>
        </w:rPr>
        <w:t xml:space="preserve"> enterprise might consider requiring visitors to acknowledge the existence of the ICP (and/or TCP) and require visitors to sign an NDA that prevents the visitor from disclosing any information related to the visit. </w:t>
      </w:r>
      <w:r>
        <w:rPr>
          <w:rFonts w:ascii="Times New Roman" w:eastAsia="SimSun" w:hAnsi="Times New Roman" w:cs="Times New Roman"/>
          <w:sz w:val="24"/>
          <w:szCs w:val="24"/>
          <w:u w:val="single"/>
          <w:lang w:eastAsia="zh-CN"/>
        </w:rPr>
        <w:t>Note</w:t>
      </w:r>
      <w:r w:rsidRPr="001D6FDC">
        <w:rPr>
          <w:rFonts w:ascii="Times New Roman" w:eastAsia="SimSun" w:hAnsi="Times New Roman" w:cs="Times New Roman"/>
          <w:sz w:val="24"/>
          <w:szCs w:val="24"/>
          <w:lang w:eastAsia="zh-CN"/>
        </w:rPr>
        <w:t xml:space="preserve">: </w:t>
      </w:r>
      <w:r w:rsidRPr="00DF718C">
        <w:rPr>
          <w:rFonts w:ascii="Times New Roman" w:eastAsia="SimSun" w:hAnsi="Times New Roman" w:cs="Times New Roman"/>
          <w:i/>
          <w:sz w:val="24"/>
          <w:szCs w:val="24"/>
          <w:lang w:eastAsia="zh-CN"/>
        </w:rPr>
        <w:t>Appendix 2 of this section contains a “</w:t>
      </w:r>
      <w:r w:rsidRPr="00DF718C">
        <w:rPr>
          <w:rFonts w:ascii="Times New Roman" w:eastAsia="Times New Roman" w:hAnsi="Times New Roman" w:cs="Times New Roman"/>
          <w:i/>
          <w:sz w:val="24"/>
          <w:szCs w:val="24"/>
          <w:lang w:val="en"/>
        </w:rPr>
        <w:t>Controlled Information Non-Disclosure Agreement Template</w:t>
      </w:r>
      <w:r w:rsidRPr="00DF718C">
        <w:rPr>
          <w:rFonts w:ascii="Times New Roman" w:eastAsia="SimSun" w:hAnsi="Times New Roman" w:cs="Times New Roman"/>
          <w:i/>
          <w:sz w:val="24"/>
          <w:szCs w:val="24"/>
          <w:lang w:eastAsia="zh-CN"/>
        </w:rPr>
        <w:t>” that can be customized by your enterprise</w:t>
      </w:r>
      <w:r w:rsidRPr="001D6FDC">
        <w:rPr>
          <w:rFonts w:ascii="Times New Roman" w:eastAsia="SimSun" w:hAnsi="Times New Roman" w:cs="Times New Roman"/>
          <w:sz w:val="24"/>
          <w:szCs w:val="24"/>
          <w:lang w:eastAsia="zh-CN"/>
        </w:rPr>
        <w:t>.</w:t>
      </w:r>
    </w:p>
    <w:p w14:paraId="0E87DBC4" w14:textId="77777777" w:rsidR="0080768A" w:rsidRPr="001D6FDC"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Physical inspections</w:t>
      </w:r>
      <w:r w:rsidRPr="001D6FDC">
        <w:rPr>
          <w:rFonts w:ascii="Times New Roman" w:eastAsia="SimSun" w:hAnsi="Times New Roman" w:cs="Times New Roman"/>
          <w:bCs/>
          <w:sz w:val="24"/>
          <w:szCs w:val="24"/>
          <w:lang w:eastAsia="zh-CN"/>
        </w:rPr>
        <w:t xml:space="preserve"> → </w:t>
      </w:r>
      <w:proofErr w:type="gramStart"/>
      <w:r w:rsidRPr="001D6FDC">
        <w:rPr>
          <w:rFonts w:ascii="Times New Roman" w:eastAsia="SimSun" w:hAnsi="Times New Roman" w:cs="Times New Roman"/>
          <w:bCs/>
          <w:sz w:val="24"/>
          <w:szCs w:val="24"/>
          <w:lang w:eastAsia="zh-CN"/>
        </w:rPr>
        <w:t>Your</w:t>
      </w:r>
      <w:proofErr w:type="gramEnd"/>
      <w:r w:rsidRPr="001D6FDC">
        <w:rPr>
          <w:rFonts w:ascii="Times New Roman" w:eastAsia="SimSun" w:hAnsi="Times New Roman" w:cs="Times New Roman"/>
          <w:bCs/>
          <w:sz w:val="24"/>
          <w:szCs w:val="24"/>
          <w:lang w:eastAsia="zh-CN"/>
        </w:rPr>
        <w:t xml:space="preserve"> enterprise might consider conducting physical inspections of bags, parcels, and electronic storage media upon entry. Visitors may be asked to deposit cell phones or other electronic devices prior to entering facilities that contain controlled strategic technology.</w:t>
      </w:r>
      <w:r w:rsidRPr="001D6FDC">
        <w:rPr>
          <w:rFonts w:ascii="Times New Roman" w:eastAsia="SimSun" w:hAnsi="Times New Roman" w:cs="Times New Roman"/>
          <w:bCs/>
          <w:i/>
          <w:sz w:val="24"/>
          <w:szCs w:val="24"/>
          <w:lang w:eastAsia="zh-CN"/>
        </w:rPr>
        <w:t xml:space="preserve"> </w:t>
      </w:r>
    </w:p>
    <w:p w14:paraId="0D06A0EF" w14:textId="77777777" w:rsidR="0080768A" w:rsidRPr="009F5EF8" w:rsidRDefault="0080768A"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eastAsia="zh-CN"/>
        </w:rPr>
      </w:pPr>
      <w:r w:rsidRPr="001D6FDC">
        <w:rPr>
          <w:rFonts w:ascii="Times New Roman" w:eastAsia="SimSun" w:hAnsi="Times New Roman" w:cs="Times New Roman"/>
          <w:bCs/>
          <w:i/>
          <w:sz w:val="24"/>
          <w:szCs w:val="24"/>
          <w:lang w:eastAsia="zh-CN"/>
        </w:rPr>
        <w:t>Third party access controls</w:t>
      </w:r>
      <w:r w:rsidRPr="001D6FDC">
        <w:rPr>
          <w:rFonts w:ascii="Times New Roman" w:eastAsia="SimSun" w:hAnsi="Times New Roman" w:cs="Times New Roman"/>
          <w:bCs/>
          <w:sz w:val="24"/>
          <w:szCs w:val="24"/>
          <w:lang w:eastAsia="zh-CN"/>
        </w:rPr>
        <w:t xml:space="preserve"> → </w:t>
      </w:r>
      <w:proofErr w:type="gramStart"/>
      <w:r w:rsidRPr="001D6FDC">
        <w:rPr>
          <w:rFonts w:ascii="Times New Roman" w:eastAsia="SimSun" w:hAnsi="Times New Roman" w:cs="Times New Roman"/>
          <w:bCs/>
          <w:sz w:val="24"/>
          <w:szCs w:val="24"/>
          <w:lang w:eastAsia="zh-CN"/>
        </w:rPr>
        <w:t>Your</w:t>
      </w:r>
      <w:proofErr w:type="gramEnd"/>
      <w:r w:rsidRPr="001D6FDC">
        <w:rPr>
          <w:rFonts w:ascii="Times New Roman" w:eastAsia="SimSun" w:hAnsi="Times New Roman" w:cs="Times New Roman"/>
          <w:bCs/>
          <w:sz w:val="24"/>
          <w:szCs w:val="24"/>
          <w:lang w:eastAsia="zh-CN"/>
        </w:rPr>
        <w:t xml:space="preserve"> enterprise might consider establishing controls to limit custodians, maintenance, building management from accessing controlled information.</w:t>
      </w:r>
      <w:r w:rsidRPr="001D6FDC">
        <w:rPr>
          <w:rFonts w:ascii="Times New Roman" w:eastAsia="SimSun" w:hAnsi="Times New Roman" w:cs="Times New Roman"/>
          <w:bCs/>
          <w:sz w:val="24"/>
          <w:szCs w:val="24"/>
          <w:vertAlign w:val="superscript"/>
          <w:lang w:eastAsia="zh-CN"/>
        </w:rPr>
        <w:endnoteReference w:id="6"/>
      </w:r>
      <w:r w:rsidRPr="009F5EF8">
        <w:rPr>
          <w:rFonts w:ascii="Times New Roman" w:eastAsia="SimSun" w:hAnsi="Times New Roman" w:cs="Times New Roman"/>
          <w:b/>
          <w:bCs/>
          <w:sz w:val="24"/>
          <w:szCs w:val="24"/>
          <w:u w:val="single"/>
          <w:lang w:eastAsia="zh-CN"/>
        </w:rPr>
        <w:br w:type="page"/>
      </w:r>
    </w:p>
    <w:p w14:paraId="1C28B620" w14:textId="77777777" w:rsidR="00A24281" w:rsidRPr="0080768A" w:rsidRDefault="00A24281" w:rsidP="0080768A">
      <w:bookmarkStart w:id="0" w:name="_GoBack"/>
      <w:bookmarkEnd w:id="0"/>
    </w:p>
    <w:sectPr w:rsidR="00A24281" w:rsidRPr="0080768A">
      <w:footerReference w:type="default" r:id="rId10"/>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2E354" w15:done="0"/>
  <w15:commentEx w15:paraId="0807CCFC" w15:paraIdParent="33F2E354" w15:done="0"/>
  <w15:commentEx w15:paraId="2E4F8D41" w15:done="0"/>
  <w15:commentEx w15:paraId="3CEAC8CF" w15:paraIdParent="2E4F8D41" w15:done="0"/>
  <w15:commentEx w15:paraId="16269102" w15:done="0"/>
  <w15:commentEx w15:paraId="6095AB1A" w15:done="0"/>
  <w15:commentEx w15:paraId="68D1F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20CC" w14:textId="77777777" w:rsidR="006D3F5D" w:rsidRDefault="006D3F5D">
      <w:pPr>
        <w:spacing w:after="0" w:line="240" w:lineRule="auto"/>
      </w:pPr>
      <w:r>
        <w:separator/>
      </w:r>
    </w:p>
  </w:endnote>
  <w:endnote w:type="continuationSeparator" w:id="0">
    <w:p w14:paraId="1AF0FFC1" w14:textId="77777777" w:rsidR="006D3F5D" w:rsidRDefault="006D3F5D">
      <w:pPr>
        <w:spacing w:after="0" w:line="240" w:lineRule="auto"/>
      </w:pPr>
      <w:r>
        <w:continuationSeparator/>
      </w:r>
    </w:p>
  </w:endnote>
  <w:endnote w:id="1">
    <w:p w14:paraId="119191A9"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spellStart"/>
      <w:proofErr w:type="gram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 &lt;http://www.upenn.edu/researchservices/Export%20Controls%20Conference/Mary%20Beran%20&amp;%20David%20Brady%20-%20Using%20Technology%20Control%20Plans%20in%20Export%20Compliance.pdf&gt;.</w:t>
      </w:r>
      <w:proofErr w:type="gramEnd"/>
    </w:p>
  </w:endnote>
  <w:endnote w:id="2">
    <w:p w14:paraId="188DBC0A"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gramStart"/>
      <w:r w:rsidRPr="00064B61">
        <w:rPr>
          <w:rFonts w:ascii="Times New Roman" w:hAnsi="Times New Roman" w:cs="Times New Roman"/>
          <w:sz w:val="18"/>
          <w:szCs w:val="18"/>
        </w:rPr>
        <w:t>“University of Pennsylvania Office of Research Services TCP Template,” University of Pennsylvania, available at, &lt;http://www.upenn.edu/researchservices/exportcontrols/documents/annotated%20TCP%20Template%20v3.docx&gt;.</w:t>
      </w:r>
      <w:proofErr w:type="gramEnd"/>
    </w:p>
  </w:endnote>
  <w:endnote w:id="3">
    <w:p w14:paraId="10739597"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spellStart"/>
      <w:proofErr w:type="gram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w:t>
      </w:r>
      <w:proofErr w:type="gramEnd"/>
    </w:p>
  </w:endnote>
  <w:endnote w:id="4">
    <w:p w14:paraId="3D3E800C"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gramStart"/>
      <w:r w:rsidRPr="00064B61">
        <w:rPr>
          <w:rFonts w:ascii="Times New Roman" w:hAnsi="Times New Roman" w:cs="Times New Roman"/>
          <w:sz w:val="18"/>
          <w:szCs w:val="18"/>
        </w:rPr>
        <w:t>“University of Pennsylvania Office of Research Services TCP Template,” University of Pennsylvania.</w:t>
      </w:r>
      <w:proofErr w:type="gramEnd"/>
    </w:p>
  </w:endnote>
  <w:endnote w:id="5">
    <w:p w14:paraId="21C31D0F"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“Australian Best Practice Guide for the Management of Controlled Exports and Technology,” Australian Industry Group, May 2014.</w:t>
      </w:r>
    </w:p>
  </w:endnote>
  <w:endnote w:id="6">
    <w:p w14:paraId="553E93FA" w14:textId="77777777" w:rsidR="0080768A" w:rsidRPr="00064B61" w:rsidRDefault="0080768A" w:rsidP="0080768A">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spellStart"/>
      <w:proofErr w:type="gram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17465"/>
      <w:docPartObj>
        <w:docPartGallery w:val="Page Numbers (Bottom of Page)"/>
        <w:docPartUnique/>
      </w:docPartObj>
    </w:sdtPr>
    <w:sdtEndPr>
      <w:rPr>
        <w:noProof/>
      </w:rPr>
    </w:sdtEndPr>
    <w:sdtContent>
      <w:p w14:paraId="2F255323" w14:textId="77777777" w:rsidR="001D6FDC" w:rsidRDefault="001D6FDC">
        <w:pPr>
          <w:pStyle w:val="Footer"/>
          <w:jc w:val="right"/>
        </w:pPr>
        <w:r>
          <w:fldChar w:fldCharType="begin"/>
        </w:r>
        <w:r>
          <w:instrText xml:space="preserve"> PAGE   \* MERGEFORMAT </w:instrText>
        </w:r>
        <w:r>
          <w:fldChar w:fldCharType="separate"/>
        </w:r>
        <w:r w:rsidR="0080768A">
          <w:rPr>
            <w:noProof/>
          </w:rPr>
          <w:t>1</w:t>
        </w:r>
        <w:r>
          <w:rPr>
            <w:noProof/>
          </w:rPr>
          <w:fldChar w:fldCharType="end"/>
        </w:r>
      </w:p>
    </w:sdtContent>
  </w:sdt>
  <w:p w14:paraId="45F344B9" w14:textId="77777777" w:rsidR="001D6FDC" w:rsidRDefault="001D6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06043" w14:textId="77777777" w:rsidR="006D3F5D" w:rsidRDefault="006D3F5D">
      <w:pPr>
        <w:spacing w:after="0" w:line="240" w:lineRule="auto"/>
      </w:pPr>
      <w:r>
        <w:separator/>
      </w:r>
    </w:p>
  </w:footnote>
  <w:footnote w:type="continuationSeparator" w:id="0">
    <w:p w14:paraId="402B276D" w14:textId="77777777" w:rsidR="006D3F5D" w:rsidRDefault="006D3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02"/>
    <w:multiLevelType w:val="hybridMultilevel"/>
    <w:tmpl w:val="1AE8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36FD7"/>
    <w:multiLevelType w:val="hybridMultilevel"/>
    <w:tmpl w:val="4838F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2077332"/>
    <w:multiLevelType w:val="hybridMultilevel"/>
    <w:tmpl w:val="71C40F8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E577E"/>
    <w:multiLevelType w:val="hybridMultilevel"/>
    <w:tmpl w:val="1E84154E"/>
    <w:lvl w:ilvl="0" w:tplc="CA2C8B2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821AB"/>
    <w:multiLevelType w:val="hybridMultilevel"/>
    <w:tmpl w:val="587E5572"/>
    <w:lvl w:ilvl="0" w:tplc="9D3A2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92D57"/>
    <w:multiLevelType w:val="hybridMultilevel"/>
    <w:tmpl w:val="CB82EE3E"/>
    <w:lvl w:ilvl="0" w:tplc="619ABDE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70BA"/>
    <w:multiLevelType w:val="hybridMultilevel"/>
    <w:tmpl w:val="953E08F6"/>
    <w:lvl w:ilvl="0" w:tplc="04090005">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6F59A3"/>
    <w:multiLevelType w:val="hybridMultilevel"/>
    <w:tmpl w:val="23247E7E"/>
    <w:lvl w:ilvl="0" w:tplc="0B449F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41B57"/>
    <w:multiLevelType w:val="hybridMultilevel"/>
    <w:tmpl w:val="B32EA17E"/>
    <w:lvl w:ilvl="0" w:tplc="04BCF5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B7B7D"/>
    <w:multiLevelType w:val="hybridMultilevel"/>
    <w:tmpl w:val="E1B4666C"/>
    <w:lvl w:ilvl="0" w:tplc="DB5E5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10B99"/>
    <w:multiLevelType w:val="hybridMultilevel"/>
    <w:tmpl w:val="547A2686"/>
    <w:lvl w:ilvl="0" w:tplc="29FC36F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EA0697"/>
    <w:multiLevelType w:val="hybridMultilevel"/>
    <w:tmpl w:val="05DC3C8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E03F5F"/>
    <w:multiLevelType w:val="hybridMultilevel"/>
    <w:tmpl w:val="CE645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176B19"/>
    <w:multiLevelType w:val="hybridMultilevel"/>
    <w:tmpl w:val="F2147F28"/>
    <w:lvl w:ilvl="0" w:tplc="C758015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971622"/>
    <w:multiLevelType w:val="hybridMultilevel"/>
    <w:tmpl w:val="19763684"/>
    <w:lvl w:ilvl="0" w:tplc="E3C0CB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91C63"/>
    <w:multiLevelType w:val="hybridMultilevel"/>
    <w:tmpl w:val="E7DA1474"/>
    <w:lvl w:ilvl="0" w:tplc="224286E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54AC1"/>
    <w:multiLevelType w:val="hybridMultilevel"/>
    <w:tmpl w:val="A0D6DCC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A41625"/>
    <w:multiLevelType w:val="hybridMultilevel"/>
    <w:tmpl w:val="8DE29444"/>
    <w:lvl w:ilvl="0" w:tplc="63FE8DC4">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C32474"/>
    <w:multiLevelType w:val="hybridMultilevel"/>
    <w:tmpl w:val="7A628742"/>
    <w:lvl w:ilvl="0" w:tplc="0409000F">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F1737"/>
    <w:multiLevelType w:val="hybridMultilevel"/>
    <w:tmpl w:val="A4B43E5A"/>
    <w:lvl w:ilvl="0" w:tplc="6288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0213B"/>
    <w:multiLevelType w:val="hybridMultilevel"/>
    <w:tmpl w:val="F55C8260"/>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46BDD"/>
    <w:multiLevelType w:val="hybridMultilevel"/>
    <w:tmpl w:val="B032143E"/>
    <w:lvl w:ilvl="0" w:tplc="D53AD222">
      <w:start w:val="1"/>
      <w:numFmt w:val="decimal"/>
      <w:lvlText w:val="%1."/>
      <w:lvlJc w:val="left"/>
      <w:pPr>
        <w:tabs>
          <w:tab w:val="num" w:pos="360"/>
        </w:tabs>
        <w:ind w:left="360" w:hanging="360"/>
      </w:pPr>
      <w:rPr>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443BB9"/>
    <w:multiLevelType w:val="hybridMultilevel"/>
    <w:tmpl w:val="3CE4563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1A5010"/>
    <w:multiLevelType w:val="hybridMultilevel"/>
    <w:tmpl w:val="A226F9A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57F09"/>
    <w:multiLevelType w:val="hybridMultilevel"/>
    <w:tmpl w:val="32CC28DE"/>
    <w:lvl w:ilvl="0" w:tplc="1CE033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E1AF6"/>
    <w:multiLevelType w:val="hybridMultilevel"/>
    <w:tmpl w:val="065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30959"/>
    <w:multiLevelType w:val="hybridMultilevel"/>
    <w:tmpl w:val="1F3A7AF2"/>
    <w:lvl w:ilvl="0" w:tplc="3224D85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A1DB4"/>
    <w:multiLevelType w:val="hybridMultilevel"/>
    <w:tmpl w:val="552E5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B3062"/>
    <w:multiLevelType w:val="hybridMultilevel"/>
    <w:tmpl w:val="DCEA8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35A1A"/>
    <w:multiLevelType w:val="hybridMultilevel"/>
    <w:tmpl w:val="9B06C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3491B"/>
    <w:multiLevelType w:val="hybridMultilevel"/>
    <w:tmpl w:val="A51EE318"/>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2"/>
  </w:num>
  <w:num w:numId="5">
    <w:abstractNumId w:val="26"/>
  </w:num>
  <w:num w:numId="6">
    <w:abstractNumId w:val="1"/>
  </w:num>
  <w:num w:numId="7">
    <w:abstractNumId w:val="25"/>
  </w:num>
  <w:num w:numId="8">
    <w:abstractNumId w:val="16"/>
  </w:num>
  <w:num w:numId="9">
    <w:abstractNumId w:val="31"/>
  </w:num>
  <w:num w:numId="10">
    <w:abstractNumId w:val="4"/>
  </w:num>
  <w:num w:numId="11">
    <w:abstractNumId w:val="30"/>
  </w:num>
  <w:num w:numId="12">
    <w:abstractNumId w:val="6"/>
  </w:num>
  <w:num w:numId="13">
    <w:abstractNumId w:val="27"/>
  </w:num>
  <w:num w:numId="14">
    <w:abstractNumId w:val="13"/>
  </w:num>
  <w:num w:numId="15">
    <w:abstractNumId w:val="11"/>
  </w:num>
  <w:num w:numId="16">
    <w:abstractNumId w:val="9"/>
  </w:num>
  <w:num w:numId="17">
    <w:abstractNumId w:val="18"/>
  </w:num>
  <w:num w:numId="18">
    <w:abstractNumId w:val="32"/>
  </w:num>
  <w:num w:numId="19">
    <w:abstractNumId w:val="12"/>
  </w:num>
  <w:num w:numId="20">
    <w:abstractNumId w:val="21"/>
  </w:num>
  <w:num w:numId="21">
    <w:abstractNumId w:val="23"/>
  </w:num>
  <w:num w:numId="22">
    <w:abstractNumId w:val="2"/>
  </w:num>
  <w:num w:numId="23">
    <w:abstractNumId w:val="17"/>
  </w:num>
  <w:num w:numId="24">
    <w:abstractNumId w:val="24"/>
  </w:num>
  <w:num w:numId="25">
    <w:abstractNumId w:val="3"/>
  </w:num>
  <w:num w:numId="26">
    <w:abstractNumId w:val="7"/>
  </w:num>
  <w:num w:numId="27">
    <w:abstractNumId w:val="33"/>
  </w:num>
  <w:num w:numId="28">
    <w:abstractNumId w:val="29"/>
  </w:num>
  <w:num w:numId="29">
    <w:abstractNumId w:val="8"/>
  </w:num>
  <w:num w:numId="30">
    <w:abstractNumId w:val="15"/>
  </w:num>
  <w:num w:numId="31">
    <w:abstractNumId w:val="19"/>
  </w:num>
  <w:num w:numId="32">
    <w:abstractNumId w:val="28"/>
  </w:num>
  <w:num w:numId="33">
    <w:abstractNumId w:val="5"/>
  </w:num>
  <w:num w:numId="34">
    <w:abstractNumId w:val="1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C0"/>
    <w:rsid w:val="0000289A"/>
    <w:rsid w:val="00003572"/>
    <w:rsid w:val="000068E0"/>
    <w:rsid w:val="0001718E"/>
    <w:rsid w:val="00022FE1"/>
    <w:rsid w:val="00026687"/>
    <w:rsid w:val="0003444C"/>
    <w:rsid w:val="00064B61"/>
    <w:rsid w:val="00067593"/>
    <w:rsid w:val="00087AC9"/>
    <w:rsid w:val="00091CC0"/>
    <w:rsid w:val="000A3765"/>
    <w:rsid w:val="000B4B67"/>
    <w:rsid w:val="000B4CD4"/>
    <w:rsid w:val="000D31B9"/>
    <w:rsid w:val="000D75BB"/>
    <w:rsid w:val="0011642F"/>
    <w:rsid w:val="001301FE"/>
    <w:rsid w:val="001342FD"/>
    <w:rsid w:val="00173558"/>
    <w:rsid w:val="00174C9F"/>
    <w:rsid w:val="00191F1D"/>
    <w:rsid w:val="00192D17"/>
    <w:rsid w:val="001A07D0"/>
    <w:rsid w:val="001A1D23"/>
    <w:rsid w:val="001A5F84"/>
    <w:rsid w:val="001B087B"/>
    <w:rsid w:val="001D0473"/>
    <w:rsid w:val="001D1EE3"/>
    <w:rsid w:val="001D6FDC"/>
    <w:rsid w:val="001F2EBB"/>
    <w:rsid w:val="00203356"/>
    <w:rsid w:val="00206019"/>
    <w:rsid w:val="00210AD4"/>
    <w:rsid w:val="002136CF"/>
    <w:rsid w:val="00286F81"/>
    <w:rsid w:val="00295188"/>
    <w:rsid w:val="002A3823"/>
    <w:rsid w:val="002C063F"/>
    <w:rsid w:val="002C1D64"/>
    <w:rsid w:val="002C611D"/>
    <w:rsid w:val="002C7954"/>
    <w:rsid w:val="002D7BB0"/>
    <w:rsid w:val="002E4479"/>
    <w:rsid w:val="002F5FD7"/>
    <w:rsid w:val="00316867"/>
    <w:rsid w:val="00365998"/>
    <w:rsid w:val="00374114"/>
    <w:rsid w:val="00376652"/>
    <w:rsid w:val="003966D6"/>
    <w:rsid w:val="003A44D0"/>
    <w:rsid w:val="003C2FF3"/>
    <w:rsid w:val="003C6817"/>
    <w:rsid w:val="003C7772"/>
    <w:rsid w:val="003E702C"/>
    <w:rsid w:val="00400FE8"/>
    <w:rsid w:val="00412010"/>
    <w:rsid w:val="004317C1"/>
    <w:rsid w:val="00461C6C"/>
    <w:rsid w:val="00484401"/>
    <w:rsid w:val="00487654"/>
    <w:rsid w:val="004A77CD"/>
    <w:rsid w:val="004B5E93"/>
    <w:rsid w:val="004D67ED"/>
    <w:rsid w:val="00505A0A"/>
    <w:rsid w:val="0052317C"/>
    <w:rsid w:val="00524B8F"/>
    <w:rsid w:val="00526DDD"/>
    <w:rsid w:val="005307FE"/>
    <w:rsid w:val="00530DFF"/>
    <w:rsid w:val="00531A63"/>
    <w:rsid w:val="005324CC"/>
    <w:rsid w:val="00547E7D"/>
    <w:rsid w:val="00577871"/>
    <w:rsid w:val="00581DD7"/>
    <w:rsid w:val="0058220F"/>
    <w:rsid w:val="00593BA9"/>
    <w:rsid w:val="00596426"/>
    <w:rsid w:val="005A48FF"/>
    <w:rsid w:val="005C356A"/>
    <w:rsid w:val="005C7FC2"/>
    <w:rsid w:val="005D3D4F"/>
    <w:rsid w:val="005F1025"/>
    <w:rsid w:val="00603AF6"/>
    <w:rsid w:val="006111D0"/>
    <w:rsid w:val="00614212"/>
    <w:rsid w:val="00652340"/>
    <w:rsid w:val="00654CE9"/>
    <w:rsid w:val="00657DFB"/>
    <w:rsid w:val="00665562"/>
    <w:rsid w:val="00671641"/>
    <w:rsid w:val="006A273C"/>
    <w:rsid w:val="006C6A67"/>
    <w:rsid w:val="006D0A4B"/>
    <w:rsid w:val="006D3F5D"/>
    <w:rsid w:val="006E1FE9"/>
    <w:rsid w:val="006F1532"/>
    <w:rsid w:val="00722422"/>
    <w:rsid w:val="0072463E"/>
    <w:rsid w:val="0073015A"/>
    <w:rsid w:val="007517EC"/>
    <w:rsid w:val="00761DC9"/>
    <w:rsid w:val="00766E8F"/>
    <w:rsid w:val="007712A6"/>
    <w:rsid w:val="00796873"/>
    <w:rsid w:val="007A1F6B"/>
    <w:rsid w:val="007B16CF"/>
    <w:rsid w:val="007E60F5"/>
    <w:rsid w:val="007F2326"/>
    <w:rsid w:val="007F5051"/>
    <w:rsid w:val="00802DE2"/>
    <w:rsid w:val="0080768A"/>
    <w:rsid w:val="00807E6E"/>
    <w:rsid w:val="008269B3"/>
    <w:rsid w:val="00845437"/>
    <w:rsid w:val="0086593B"/>
    <w:rsid w:val="00872424"/>
    <w:rsid w:val="00882DEF"/>
    <w:rsid w:val="00897610"/>
    <w:rsid w:val="008B31E4"/>
    <w:rsid w:val="008C15DB"/>
    <w:rsid w:val="008C1BAD"/>
    <w:rsid w:val="008C65F0"/>
    <w:rsid w:val="008C7492"/>
    <w:rsid w:val="008D13B0"/>
    <w:rsid w:val="00917869"/>
    <w:rsid w:val="00931B81"/>
    <w:rsid w:val="00961858"/>
    <w:rsid w:val="00973378"/>
    <w:rsid w:val="009B21BC"/>
    <w:rsid w:val="009C2B2A"/>
    <w:rsid w:val="009C3E58"/>
    <w:rsid w:val="009C6796"/>
    <w:rsid w:val="009F5EF8"/>
    <w:rsid w:val="00A0767B"/>
    <w:rsid w:val="00A15AB1"/>
    <w:rsid w:val="00A24281"/>
    <w:rsid w:val="00A331FD"/>
    <w:rsid w:val="00A611DC"/>
    <w:rsid w:val="00A754A7"/>
    <w:rsid w:val="00A93259"/>
    <w:rsid w:val="00AC21A2"/>
    <w:rsid w:val="00AE633C"/>
    <w:rsid w:val="00AF127E"/>
    <w:rsid w:val="00B0491B"/>
    <w:rsid w:val="00B1680C"/>
    <w:rsid w:val="00B27845"/>
    <w:rsid w:val="00B44CE1"/>
    <w:rsid w:val="00B470ED"/>
    <w:rsid w:val="00B55081"/>
    <w:rsid w:val="00B64C44"/>
    <w:rsid w:val="00B70261"/>
    <w:rsid w:val="00B72903"/>
    <w:rsid w:val="00B760CA"/>
    <w:rsid w:val="00B824F0"/>
    <w:rsid w:val="00BB3F73"/>
    <w:rsid w:val="00BC22F1"/>
    <w:rsid w:val="00BC788A"/>
    <w:rsid w:val="00BE6F52"/>
    <w:rsid w:val="00BF5F60"/>
    <w:rsid w:val="00C06C73"/>
    <w:rsid w:val="00C17689"/>
    <w:rsid w:val="00C572D5"/>
    <w:rsid w:val="00C70FC2"/>
    <w:rsid w:val="00CA048E"/>
    <w:rsid w:val="00CA7AE5"/>
    <w:rsid w:val="00CB50FC"/>
    <w:rsid w:val="00CE7D93"/>
    <w:rsid w:val="00D14753"/>
    <w:rsid w:val="00D26308"/>
    <w:rsid w:val="00D5135D"/>
    <w:rsid w:val="00D538BE"/>
    <w:rsid w:val="00DA1DCE"/>
    <w:rsid w:val="00DB12EE"/>
    <w:rsid w:val="00DC0F2B"/>
    <w:rsid w:val="00DE47C5"/>
    <w:rsid w:val="00DF718C"/>
    <w:rsid w:val="00E1025C"/>
    <w:rsid w:val="00E216FC"/>
    <w:rsid w:val="00E33AA8"/>
    <w:rsid w:val="00E41B5C"/>
    <w:rsid w:val="00E42149"/>
    <w:rsid w:val="00E46010"/>
    <w:rsid w:val="00E56BAE"/>
    <w:rsid w:val="00E61CC8"/>
    <w:rsid w:val="00E72F98"/>
    <w:rsid w:val="00E9120C"/>
    <w:rsid w:val="00EA4D8E"/>
    <w:rsid w:val="00EA6C9F"/>
    <w:rsid w:val="00ED51E9"/>
    <w:rsid w:val="00F058AC"/>
    <w:rsid w:val="00F14F96"/>
    <w:rsid w:val="00F15345"/>
    <w:rsid w:val="00F169B5"/>
    <w:rsid w:val="00F352D6"/>
    <w:rsid w:val="00F629A3"/>
    <w:rsid w:val="00F674D9"/>
    <w:rsid w:val="00F854BB"/>
    <w:rsid w:val="00FA6C3F"/>
    <w:rsid w:val="00FB7270"/>
    <w:rsid w:val="00FC061A"/>
    <w:rsid w:val="00FC1D23"/>
    <w:rsid w:val="00FE3EED"/>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DF5F89-AF0F-4C25-A273-E9471B7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2017-02-11T14:40:00Z</dcterms:created>
  <dcterms:modified xsi:type="dcterms:W3CDTF">2017-02-11T14:40:00Z</dcterms:modified>
</cp:coreProperties>
</file>